
<file path=[Content_Types].xml><?xml version="1.0" encoding="utf-8"?>
<Types xmlns="http://schemas.openxmlformats.org/package/2006/content-types">
  <Default Extension="xml" ContentType="application/xml"/>
  <Default Extension="wmf" ContentType="image/x-wmf"/>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沪通高频电刀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32"/>
          <w:szCs w:val="32"/>
          <w:shd w:val="clear" w:fill="FFFFFF"/>
          <w:lang w:val="en-US" w:eastAsia="zh-CN" w:bidi="ar"/>
        </w:rPr>
      </w:pPr>
      <w:r>
        <w:rPr>
          <w:rStyle w:val="10"/>
          <w:rFonts w:hint="eastAsia" w:ascii="宋体" w:hAnsi="宋体" w:eastAsia="宋体" w:cs="宋体"/>
          <w:i w:val="0"/>
          <w:caps w:val="0"/>
          <w:color w:val="333333"/>
          <w:spacing w:val="0"/>
          <w:kern w:val="0"/>
          <w:sz w:val="32"/>
          <w:szCs w:val="32"/>
          <w:shd w:val="clear" w:fill="FFFFFF"/>
          <w:lang w:val="en-US" w:eastAsia="zh-CN" w:bidi="ar"/>
        </w:rPr>
        <w:t>GD350-T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hint="eastAsia" w:ascii="宋体" w:hAnsi="宋体" w:eastAsia="宋体" w:cs="宋体"/>
          <w:i w:val="0"/>
          <w:caps w:val="0"/>
          <w:color w:val="333333"/>
          <w:spacing w:val="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ascii="宋体" w:hAnsi="宋体" w:eastAsia="宋体" w:cs="宋体"/>
          <w:b w:val="0"/>
          <w:i w:val="0"/>
          <w:caps w:val="0"/>
          <w:color w:val="333333"/>
          <w:spacing w:val="0"/>
          <w:kern w:val="0"/>
          <w:sz w:val="28"/>
          <w:szCs w:val="28"/>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Style w:val="10"/>
          <w:rFonts w:ascii="宋体" w:hAnsi="宋体" w:eastAsia="宋体" w:cs="宋体"/>
          <w:b w:val="0"/>
          <w:i w:val="0"/>
          <w:caps w:val="0"/>
          <w:color w:val="333333"/>
          <w:spacing w:val="0"/>
          <w:kern w:val="0"/>
          <w:sz w:val="28"/>
          <w:szCs w:val="28"/>
          <w:shd w:val="clear" w:fill="FFFFFF"/>
          <w:lang w:val="en-US" w:eastAsia="zh-CN" w:bidi="ar"/>
        </w:rPr>
      </w:pPr>
      <w:r>
        <w:rPr>
          <w:rStyle w:val="10"/>
          <w:rFonts w:ascii="宋体" w:hAnsi="宋体" w:eastAsia="宋体" w:cs="宋体"/>
          <w:b w:val="0"/>
          <w:i w:val="0"/>
          <w:caps w:val="0"/>
          <w:color w:val="333333"/>
          <w:spacing w:val="0"/>
          <w:kern w:val="0"/>
          <w:sz w:val="28"/>
          <w:szCs w:val="28"/>
          <w:shd w:val="clear" w:fill="FFFFFF"/>
          <w:lang w:val="en-US" w:eastAsia="zh-CN" w:bidi="ar"/>
        </w:rPr>
        <w:drawing>
          <wp:inline distT="0" distB="0" distL="114300" distR="114300">
            <wp:extent cx="6929120" cy="7706995"/>
            <wp:effectExtent l="0" t="0" r="5080" b="8255"/>
            <wp:docPr id="37" name="图片 37" descr="正正面-开机状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正正面-开机状态"/>
                    <pic:cNvPicPr>
                      <a:picLocks noChangeAspect="1"/>
                    </pic:cNvPicPr>
                  </pic:nvPicPr>
                  <pic:blipFill>
                    <a:blip r:embed="rId6"/>
                    <a:stretch>
                      <a:fillRect/>
                    </a:stretch>
                  </pic:blipFill>
                  <pic:spPr>
                    <a:xfrm>
                      <a:off x="0" y="0"/>
                      <a:ext cx="6929120" cy="770699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sz w:val="36"/>
          <w:szCs w:val="36"/>
          <w:shd w:val="clear" w:fill="FFFFFF"/>
          <w:lang w:val="en-US" w:eastAsia="zh-CN"/>
        </w:rPr>
      </w:pPr>
      <w:r>
        <w:rPr>
          <w:rFonts w:hint="eastAsia" w:ascii="宋体" w:hAnsi="宋体" w:eastAsia="宋体" w:cs="宋体"/>
          <w:b/>
          <w:bCs/>
          <w:i w:val="0"/>
          <w:caps w:val="0"/>
          <w:color w:val="333333"/>
          <w:spacing w:val="0"/>
          <w:sz w:val="36"/>
          <w:szCs w:val="36"/>
          <w:shd w:val="clear" w:fill="FFFFFF"/>
        </w:rPr>
        <w:t>沪通</w:t>
      </w:r>
      <w:r>
        <w:rPr>
          <w:rFonts w:hint="eastAsia" w:ascii="宋体" w:hAnsi="宋体" w:eastAsia="宋体" w:cs="宋体"/>
          <w:b/>
          <w:bCs/>
          <w:i w:val="0"/>
          <w:caps w:val="0"/>
          <w:color w:val="333333"/>
          <w:spacing w:val="0"/>
          <w:sz w:val="36"/>
          <w:szCs w:val="36"/>
          <w:shd w:val="clear" w:fill="FFFFFF"/>
          <w:lang w:val="en-US" w:eastAsia="zh-CN"/>
        </w:rPr>
        <w:t xml:space="preserve"> </w:t>
      </w:r>
      <w:r>
        <w:rPr>
          <w:rFonts w:hint="eastAsia" w:ascii="宋体" w:hAnsi="宋体" w:eastAsia="宋体" w:cs="宋体"/>
          <w:b/>
          <w:bCs/>
          <w:i w:val="0"/>
          <w:caps w:val="0"/>
          <w:color w:val="333333"/>
          <w:spacing w:val="0"/>
          <w:sz w:val="36"/>
          <w:szCs w:val="36"/>
          <w:shd w:val="clear" w:fill="FFFFFF"/>
        </w:rPr>
        <w:t>高频电刀</w:t>
      </w:r>
      <w:r>
        <w:rPr>
          <w:rFonts w:hint="eastAsia" w:ascii="宋体" w:hAnsi="宋体" w:eastAsia="宋体" w:cs="宋体"/>
          <w:b/>
          <w:bCs/>
          <w:i w:val="0"/>
          <w:caps w:val="0"/>
          <w:color w:val="333333"/>
          <w:spacing w:val="0"/>
          <w:sz w:val="36"/>
          <w:szCs w:val="36"/>
          <w:shd w:val="clear" w:fill="FFFFFF"/>
          <w:lang w:val="en-US" w:eastAsia="zh-CN"/>
        </w:rPr>
        <w:t xml:space="preserve"> GD350-T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firstLine="640" w:firstLineChars="200"/>
        <w:jc w:val="both"/>
        <w:textAlignment w:val="auto"/>
        <w:outlineLvl w:val="9"/>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GD350-T型精密高频电刀是一种单极电刀，有自动调节凝血效果功能，根据组织阻抗变化保持功率稳定输出，即可手控也可</w:t>
      </w:r>
      <w:bookmarkStart w:id="0" w:name="_GoBack"/>
      <w:bookmarkEnd w:id="0"/>
      <w:r>
        <w:rPr>
          <w:rFonts w:hint="eastAsia" w:ascii="宋体" w:hAnsi="宋体" w:eastAsia="宋体" w:cs="宋体"/>
          <w:i w:val="0"/>
          <w:caps w:val="0"/>
          <w:color w:val="333333"/>
          <w:spacing w:val="0"/>
          <w:sz w:val="32"/>
          <w:szCs w:val="32"/>
          <w:shd w:val="clear" w:fill="FFFFFF"/>
        </w:rPr>
        <w:t>脚控，特别适用于肿瘤等中型手术</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ind w:right="0"/>
        <w:jc w:val="both"/>
        <w:textAlignment w:val="auto"/>
        <w:outlineLvl w:val="9"/>
        <w:rPr>
          <w:rFonts w:hint="eastAsia" w:ascii="宋体" w:hAnsi="宋体" w:eastAsia="宋体" w:cs="宋体"/>
          <w:b/>
          <w:bCs/>
          <w:i w:val="0"/>
          <w:caps w:val="0"/>
          <w:color w:val="333333"/>
          <w:spacing w:val="0"/>
          <w:sz w:val="36"/>
          <w:szCs w:val="36"/>
        </w:rPr>
      </w:pPr>
      <w:r>
        <w:rPr>
          <w:rFonts w:hint="eastAsia" w:ascii="宋体" w:hAnsi="宋体" w:eastAsia="宋体" w:cs="宋体"/>
          <w:b/>
          <w:bCs/>
          <w:i w:val="0"/>
          <w:caps w:val="0"/>
          <w:color w:val="333333"/>
          <w:spacing w:val="0"/>
          <w:sz w:val="36"/>
          <w:szCs w:val="36"/>
          <w:shd w:val="clear" w:fill="FFFFFF"/>
        </w:rPr>
        <w:t>产品特点</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单极高频电刀，两种工作模式，既有手控输出又有脚控输出</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具有自动调节凝血功能的恒功率电刀，可随组织的阻抗变化自动调整功率输出，减少碳化和粘连</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简单易用，功率精准控制，外形小巧，携带方便</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中性极板监测系统：单片极板模式采用连续性检测器；双片极板模式，系统自动监测极板与病员皮肤的接触质量并以排灯形式显示于操作面板上，若接触质量低于设定值，会有声光报警并切断电刀输出，确保安全</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r>
        <w:rPr>
          <w:rFonts w:hint="eastAsia" w:ascii="宋体" w:hAnsi="宋体" w:eastAsia="宋体" w:cs="宋体"/>
          <w:i w:val="0"/>
          <w:caps w:val="0"/>
          <w:color w:val="333333"/>
          <w:spacing w:val="0"/>
          <w:sz w:val="32"/>
          <w:szCs w:val="32"/>
          <w:shd w:val="clear" w:fill="FFFFFF"/>
        </w:rPr>
        <w:t xml:space="preserve"> </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left="120" w:right="0"/>
        <w:rPr>
          <w:rFonts w:hint="eastAsia" w:ascii="宋体" w:hAnsi="宋体" w:eastAsia="宋体" w:cs="宋体"/>
          <w:i w:val="0"/>
          <w:caps w:val="0"/>
          <w:color w:val="333333"/>
          <w:spacing w:val="0"/>
          <w:sz w:val="32"/>
          <w:szCs w:val="32"/>
          <w:shd w:val="clear" w:fill="FFFFFF"/>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drawing>
          <wp:inline distT="0" distB="0" distL="114300" distR="114300">
            <wp:extent cx="6470650" cy="7608570"/>
            <wp:effectExtent l="0" t="0" r="6350" b="11430"/>
            <wp:docPr id="38" name="图片 38" descr="3-产品实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产品实拍_01"/>
                    <pic:cNvPicPr>
                      <a:picLocks noChangeAspect="1"/>
                    </pic:cNvPicPr>
                  </pic:nvPicPr>
                  <pic:blipFill>
                    <a:blip r:embed="rId7"/>
                    <a:stretch>
                      <a:fillRect/>
                    </a:stretch>
                  </pic:blipFill>
                  <pic:spPr>
                    <a:xfrm>
                      <a:off x="0" y="0"/>
                      <a:ext cx="6470650" cy="7608570"/>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7473315"/>
            <wp:effectExtent l="0" t="0" r="6350" b="13335"/>
            <wp:docPr id="39" name="图片 39" descr="3-产品实拍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3-产品实拍_02"/>
                    <pic:cNvPicPr>
                      <a:picLocks noChangeAspect="1"/>
                    </pic:cNvPicPr>
                  </pic:nvPicPr>
                  <pic:blipFill>
                    <a:blip r:embed="rId8"/>
                    <a:stretch>
                      <a:fillRect/>
                    </a:stretch>
                  </pic:blipFill>
                  <pic:spPr>
                    <a:xfrm>
                      <a:off x="0" y="0"/>
                      <a:ext cx="6470650" cy="7473315"/>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7365365"/>
            <wp:effectExtent l="0" t="0" r="6350" b="6985"/>
            <wp:docPr id="40" name="图片 40" descr="3-产品实拍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3-产品实拍_03"/>
                    <pic:cNvPicPr>
                      <a:picLocks noChangeAspect="1"/>
                    </pic:cNvPicPr>
                  </pic:nvPicPr>
                  <pic:blipFill>
                    <a:blip r:embed="rId9"/>
                    <a:stretch>
                      <a:fillRect/>
                    </a:stretch>
                  </pic:blipFill>
                  <pic:spPr>
                    <a:xfrm>
                      <a:off x="0" y="0"/>
                      <a:ext cx="6470650" cy="7365365"/>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7505700"/>
            <wp:effectExtent l="0" t="0" r="6350" b="0"/>
            <wp:docPr id="41" name="图片 41" descr="3-产品实拍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产品实拍_04"/>
                    <pic:cNvPicPr>
                      <a:picLocks noChangeAspect="1"/>
                    </pic:cNvPicPr>
                  </pic:nvPicPr>
                  <pic:blipFill>
                    <a:blip r:embed="rId10"/>
                    <a:stretch>
                      <a:fillRect/>
                    </a:stretch>
                  </pic:blipFill>
                  <pic:spPr>
                    <a:xfrm>
                      <a:off x="0" y="0"/>
                      <a:ext cx="6470650" cy="7505700"/>
                    </a:xfrm>
                    <a:prstGeom prst="rect">
                      <a:avLst/>
                    </a:prstGeom>
                  </pic:spPr>
                </pic:pic>
              </a:graphicData>
            </a:graphic>
          </wp:inline>
        </w:drawing>
      </w:r>
      <w:r>
        <w:rPr>
          <w:rFonts w:hint="eastAsia" w:asciiTheme="majorEastAsia" w:hAnsiTheme="majorEastAsia" w:eastAsiaTheme="majorEastAsia" w:cstheme="majorEastAsia"/>
          <w:b/>
          <w:bCs/>
          <w:sz w:val="36"/>
          <w:szCs w:val="36"/>
          <w:lang w:val="en-US" w:eastAsia="zh-CN"/>
        </w:rPr>
        <w:drawing>
          <wp:inline distT="0" distB="0" distL="114300" distR="114300">
            <wp:extent cx="6470650" cy="7281545"/>
            <wp:effectExtent l="0" t="0" r="6350" b="14605"/>
            <wp:docPr id="42" name="图片 42" descr="3-产品实拍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3-产品实拍_05"/>
                    <pic:cNvPicPr>
                      <a:picLocks noChangeAspect="1"/>
                    </pic:cNvPicPr>
                  </pic:nvPicPr>
                  <pic:blipFill>
                    <a:blip r:embed="rId11"/>
                    <a:stretch>
                      <a:fillRect/>
                    </a:stretch>
                  </pic:blipFill>
                  <pic:spPr>
                    <a:xfrm>
                      <a:off x="0" y="0"/>
                      <a:ext cx="6470650" cy="7281545"/>
                    </a:xfrm>
                    <a:prstGeom prst="rect">
                      <a:avLst/>
                    </a:prstGeom>
                  </pic:spPr>
                </pic:pic>
              </a:graphicData>
            </a:graphic>
          </wp:inline>
        </w:drawing>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Theme="majorEastAsia" w:hAnsiTheme="majorEastAsia" w:eastAsiaTheme="majorEastAsia" w:cstheme="majorEastAsia"/>
          <w:b/>
          <w:bCs/>
          <w:sz w:val="36"/>
          <w:szCs w:val="36"/>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Theme="majorEastAsia" w:hAnsiTheme="majorEastAsia" w:eastAsiaTheme="majorEastAsia" w:cstheme="majorEastAsia"/>
          <w:b/>
          <w:bCs/>
          <w:sz w:val="36"/>
          <w:szCs w:val="36"/>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both"/>
        <w:rPr>
          <w:rFonts w:hint="eastAsia" w:asciiTheme="majorEastAsia" w:hAnsiTheme="majorEastAsia" w:eastAsiaTheme="majorEastAsia" w:cstheme="majorEastAsia"/>
          <w:b/>
          <w:bCs/>
          <w:sz w:val="36"/>
          <w:szCs w:val="36"/>
          <w:lang w:val="en-US" w:eastAsia="zh-CN"/>
        </w:rPr>
      </w:pP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36" w:lineRule="atLeast"/>
        <w:ind w:right="0"/>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GD350-T产品介绍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临床应用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val="0"/>
          <w:bCs w:val="0"/>
          <w:i w:val="0"/>
          <w:caps w:val="0"/>
          <w:color w:val="333333"/>
          <w:spacing w:val="0"/>
          <w:sz w:val="32"/>
          <w:szCs w:val="32"/>
          <w:shd w:val="clear" w:fill="FFFFFF"/>
        </w:rPr>
      </w:pPr>
      <w:r>
        <w:rPr>
          <w:rFonts w:hint="eastAsia" w:ascii="宋体" w:hAnsi="宋体" w:eastAsia="宋体" w:cs="宋体"/>
          <w:b w:val="0"/>
          <w:bCs w:val="0"/>
          <w:i w:val="0"/>
          <w:caps w:val="0"/>
          <w:color w:val="333333"/>
          <w:spacing w:val="0"/>
          <w:sz w:val="32"/>
          <w:szCs w:val="32"/>
          <w:shd w:val="clear" w:fill="FFFFFF"/>
        </w:rPr>
        <w:t>适用于需要切割和凝血的外科手术，包括普外、骨科、胸外、心脏、泌尿等中型手术，特别适用于肿瘤手术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val="0"/>
          <w:bCs w:val="0"/>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val="0"/>
          <w:bCs w:val="0"/>
          <w:i w:val="0"/>
          <w:caps w:val="0"/>
          <w:color w:val="333333"/>
          <w:spacing w:val="0"/>
          <w:sz w:val="32"/>
          <w:szCs w:val="32"/>
          <w:shd w:val="clear" w:fill="FFFFFF"/>
        </w:rPr>
      </w:pPr>
      <w:r>
        <w:rPr>
          <w:rFonts w:hint="eastAsia" w:ascii="宋体" w:hAnsi="宋体" w:eastAsia="宋体" w:cs="宋体"/>
          <w:b/>
          <w:bCs/>
          <w:i w:val="0"/>
          <w:caps w:val="0"/>
          <w:color w:val="333333"/>
          <w:spacing w:val="0"/>
          <w:sz w:val="32"/>
          <w:szCs w:val="32"/>
          <w:shd w:val="clear" w:fill="FFFFFF"/>
        </w:rPr>
        <w:t>沪通 高频电刀 GD350-T 产品禁忌症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i w:val="0"/>
          <w:caps w:val="0"/>
          <w:color w:val="333333"/>
          <w:spacing w:val="0"/>
          <w:sz w:val="32"/>
          <w:szCs w:val="32"/>
          <w:shd w:val="clear" w:fill="FFFFFF"/>
        </w:rPr>
      </w:pPr>
      <w:r>
        <w:rPr>
          <w:rFonts w:hint="eastAsia" w:ascii="宋体" w:hAnsi="宋体" w:eastAsia="宋体" w:cs="宋体"/>
          <w:b w:val="0"/>
          <w:bCs w:val="0"/>
          <w:i w:val="0"/>
          <w:caps w:val="0"/>
          <w:color w:val="333333"/>
          <w:spacing w:val="0"/>
          <w:sz w:val="32"/>
          <w:szCs w:val="32"/>
          <w:shd w:val="clear" w:fill="FFFFFF"/>
        </w:rPr>
        <w:t>使用心脏起搏器或有源植入物的患者；手术过程中高频电流可能流过横截面较小的部位，为避免不必要的凝结，使用双极技术。</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rPr>
          <w:rFonts w:hint="eastAsia" w:ascii="宋体" w:hAnsi="宋体" w:eastAsia="宋体" w:cs="宋体"/>
          <w:b/>
          <w:bCs/>
          <w:i w:val="0"/>
          <w:caps w:val="0"/>
          <w:color w:val="333333"/>
          <w:spacing w:val="0"/>
          <w:sz w:val="32"/>
          <w:szCs w:val="32"/>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right="0"/>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沪通 高频电刀 GD350-T 包装规格：</w:t>
      </w:r>
    </w:p>
    <w:tbl>
      <w:tblPr>
        <w:tblStyle w:val="12"/>
        <w:tblW w:w="10280" w:type="dxa"/>
        <w:tblCellSpacing w:w="7" w:type="dxa"/>
        <w:tblInd w:w="0" w:type="dxa"/>
        <w:shd w:val="clear" w:color="auto" w:fill="996600"/>
        <w:tblLayout w:type="fixed"/>
        <w:tblCellMar>
          <w:top w:w="75" w:type="dxa"/>
          <w:left w:w="75" w:type="dxa"/>
          <w:bottom w:w="75" w:type="dxa"/>
          <w:right w:w="75" w:type="dxa"/>
        </w:tblCellMar>
      </w:tblPr>
      <w:tblGrid>
        <w:gridCol w:w="5122"/>
        <w:gridCol w:w="5158"/>
      </w:tblGrid>
      <w:tr>
        <w:tblPrEx>
          <w:shd w:val="clear" w:color="auto" w:fill="996600"/>
          <w:tblLayout w:type="fixed"/>
          <w:tblCellMar>
            <w:top w:w="75" w:type="dxa"/>
            <w:left w:w="75" w:type="dxa"/>
            <w:bottom w:w="75" w:type="dxa"/>
            <w:right w:w="75" w:type="dxa"/>
          </w:tblCellMar>
        </w:tblPrEx>
        <w:trPr>
          <w:trHeight w:val="481" w:hRule="atLeast"/>
          <w:tblCellSpacing w:w="7" w:type="dxa"/>
        </w:trPr>
        <w:tc>
          <w:tcPr>
            <w:tcW w:w="5101" w:type="dxa"/>
            <w:shd w:val="clear" w:color="auto" w:fill="FDF8E2"/>
            <w:vAlign w:val="center"/>
          </w:tcPr>
          <w:p>
            <w:pPr>
              <w:keepNext w:val="0"/>
              <w:keepLines w:val="0"/>
              <w:widowControl/>
              <w:suppressLineNumbers w:val="0"/>
              <w:spacing w:line="240" w:lineRule="atLeast"/>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主机尺寸</w:t>
            </w:r>
          </w:p>
        </w:tc>
        <w:tc>
          <w:tcPr>
            <w:tcW w:w="5137" w:type="dxa"/>
            <w:shd w:val="clear" w:color="auto" w:fill="FDF8E2"/>
            <w:vAlign w:val="center"/>
          </w:tcPr>
          <w:p>
            <w:pPr>
              <w:keepNext w:val="0"/>
              <w:keepLines w:val="0"/>
              <w:widowControl/>
              <w:suppressLineNumbers w:val="0"/>
              <w:spacing w:line="240" w:lineRule="atLeast"/>
              <w:ind w:lef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430×310×150(mm)</w:t>
            </w:r>
          </w:p>
        </w:tc>
      </w:tr>
      <w:tr>
        <w:tblPrEx>
          <w:tblLayout w:type="fixed"/>
          <w:tblCellMar>
            <w:top w:w="75" w:type="dxa"/>
            <w:left w:w="75" w:type="dxa"/>
            <w:bottom w:w="75" w:type="dxa"/>
            <w:right w:w="75" w:type="dxa"/>
          </w:tblCellMar>
        </w:tblPrEx>
        <w:trPr>
          <w:trHeight w:val="466" w:hRule="atLeast"/>
          <w:tblCellSpacing w:w="7" w:type="dxa"/>
        </w:trPr>
        <w:tc>
          <w:tcPr>
            <w:tcW w:w="5101" w:type="dxa"/>
            <w:shd w:val="clear" w:color="auto" w:fill="FDF8E2"/>
            <w:vAlign w:val="center"/>
          </w:tcPr>
          <w:p>
            <w:pPr>
              <w:keepNext w:val="0"/>
              <w:keepLines w:val="0"/>
              <w:widowControl/>
              <w:suppressLineNumbers w:val="0"/>
              <w:spacing w:line="240" w:lineRule="atLeast"/>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外包尺寸</w:t>
            </w:r>
          </w:p>
        </w:tc>
        <w:tc>
          <w:tcPr>
            <w:tcW w:w="5137" w:type="dxa"/>
            <w:shd w:val="clear" w:color="auto" w:fill="FDF8E2"/>
            <w:vAlign w:val="center"/>
          </w:tcPr>
          <w:p>
            <w:pPr>
              <w:keepNext w:val="0"/>
              <w:keepLines w:val="0"/>
              <w:widowControl/>
              <w:suppressLineNumbers w:val="0"/>
              <w:spacing w:line="240" w:lineRule="atLeast"/>
              <w:ind w:lef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690×490×340(mm)</w:t>
            </w:r>
          </w:p>
        </w:tc>
      </w:tr>
      <w:tr>
        <w:tblPrEx>
          <w:tblLayout w:type="fixed"/>
          <w:tblCellMar>
            <w:top w:w="75" w:type="dxa"/>
            <w:left w:w="75" w:type="dxa"/>
            <w:bottom w:w="75" w:type="dxa"/>
            <w:right w:w="75" w:type="dxa"/>
          </w:tblCellMar>
        </w:tblPrEx>
        <w:trPr>
          <w:trHeight w:val="466" w:hRule="atLeast"/>
          <w:tblCellSpacing w:w="7" w:type="dxa"/>
        </w:trPr>
        <w:tc>
          <w:tcPr>
            <w:tcW w:w="5101" w:type="dxa"/>
            <w:shd w:val="clear" w:color="auto" w:fill="FDF8E2"/>
            <w:vAlign w:val="center"/>
          </w:tcPr>
          <w:p>
            <w:pPr>
              <w:keepNext w:val="0"/>
              <w:keepLines w:val="0"/>
              <w:widowControl/>
              <w:suppressLineNumbers w:val="0"/>
              <w:spacing w:line="240" w:lineRule="atLeast"/>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净重</w:t>
            </w:r>
          </w:p>
        </w:tc>
        <w:tc>
          <w:tcPr>
            <w:tcW w:w="5137" w:type="dxa"/>
            <w:shd w:val="clear" w:color="auto" w:fill="FDF8E2"/>
            <w:vAlign w:val="center"/>
          </w:tcPr>
          <w:p>
            <w:pPr>
              <w:keepNext w:val="0"/>
              <w:keepLines w:val="0"/>
              <w:widowControl/>
              <w:suppressLineNumbers w:val="0"/>
              <w:spacing w:line="240" w:lineRule="atLeast"/>
              <w:ind w:lef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8Kg</w:t>
            </w:r>
          </w:p>
        </w:tc>
      </w:tr>
      <w:tr>
        <w:tblPrEx>
          <w:tblLayout w:type="fixed"/>
          <w:tblCellMar>
            <w:top w:w="75" w:type="dxa"/>
            <w:left w:w="75" w:type="dxa"/>
            <w:bottom w:w="75" w:type="dxa"/>
            <w:right w:w="75" w:type="dxa"/>
          </w:tblCellMar>
        </w:tblPrEx>
        <w:trPr>
          <w:trHeight w:val="481" w:hRule="atLeast"/>
          <w:tblCellSpacing w:w="7" w:type="dxa"/>
        </w:trPr>
        <w:tc>
          <w:tcPr>
            <w:tcW w:w="5101" w:type="dxa"/>
            <w:shd w:val="clear" w:color="auto" w:fill="FDF8E2"/>
            <w:vAlign w:val="center"/>
          </w:tcPr>
          <w:p>
            <w:pPr>
              <w:keepNext w:val="0"/>
              <w:keepLines w:val="0"/>
              <w:widowControl/>
              <w:suppressLineNumbers w:val="0"/>
              <w:spacing w:line="240" w:lineRule="atLeast"/>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毛重</w:t>
            </w:r>
          </w:p>
        </w:tc>
        <w:tc>
          <w:tcPr>
            <w:tcW w:w="5137" w:type="dxa"/>
            <w:shd w:val="clear" w:color="auto" w:fill="FDF8E2"/>
            <w:vAlign w:val="center"/>
          </w:tcPr>
          <w:p>
            <w:pPr>
              <w:keepNext w:val="0"/>
              <w:keepLines w:val="0"/>
              <w:widowControl/>
              <w:suppressLineNumbers w:val="0"/>
              <w:spacing w:line="240" w:lineRule="atLeast"/>
              <w:ind w:left="0" w:firstLine="0"/>
              <w:jc w:val="left"/>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13.8kg</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b/>
          <w:bCs/>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技术参数</w:t>
      </w:r>
    </w:p>
    <w:tbl>
      <w:tblPr>
        <w:tblStyle w:val="12"/>
        <w:tblW w:w="10440" w:type="dxa"/>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3488"/>
        <w:gridCol w:w="3464"/>
        <w:gridCol w:w="34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rHeight w:val="774" w:hRule="atLeast"/>
          <w:tblCellSpacing w:w="15" w:type="dxa"/>
        </w:trPr>
        <w:tc>
          <w:tcPr>
            <w:tcW w:w="344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模式</w:t>
            </w:r>
          </w:p>
        </w:tc>
        <w:tc>
          <w:tcPr>
            <w:tcW w:w="343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单极混切</w:t>
            </w:r>
          </w:p>
        </w:tc>
        <w:tc>
          <w:tcPr>
            <w:tcW w:w="344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单极点凝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23" w:hRule="atLeast"/>
          <w:tblCellSpacing w:w="15" w:type="dxa"/>
        </w:trPr>
        <w:tc>
          <w:tcPr>
            <w:tcW w:w="344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工作频率(MHz)</w:t>
            </w:r>
          </w:p>
        </w:tc>
        <w:tc>
          <w:tcPr>
            <w:tcW w:w="343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0.512</w:t>
            </w:r>
          </w:p>
        </w:tc>
        <w:tc>
          <w:tcPr>
            <w:tcW w:w="344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0.512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23" w:hRule="atLeast"/>
          <w:tblCellSpacing w:w="15" w:type="dxa"/>
        </w:trPr>
        <w:tc>
          <w:tcPr>
            <w:tcW w:w="344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额定功率(W)</w:t>
            </w:r>
          </w:p>
        </w:tc>
        <w:tc>
          <w:tcPr>
            <w:tcW w:w="343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90</w:t>
            </w:r>
          </w:p>
        </w:tc>
        <w:tc>
          <w:tcPr>
            <w:tcW w:w="344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74" w:hRule="atLeast"/>
          <w:tblCellSpacing w:w="15" w:type="dxa"/>
        </w:trPr>
        <w:tc>
          <w:tcPr>
            <w:tcW w:w="344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额定负载(Ω)</w:t>
            </w:r>
          </w:p>
        </w:tc>
        <w:tc>
          <w:tcPr>
            <w:tcW w:w="3434"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w:t>
            </w:r>
          </w:p>
        </w:tc>
        <w:tc>
          <w:tcPr>
            <w:tcW w:w="344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500</w:t>
            </w:r>
          </w:p>
        </w:tc>
      </w:tr>
    </w:tbl>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0" w:beforeAutospacing="0" w:after="0" w:afterAutospacing="0" w:line="240" w:lineRule="auto"/>
        <w:ind w:right="0"/>
        <w:rPr>
          <w:rFonts w:hint="eastAsia" w:ascii="宋体" w:hAnsi="宋体" w:eastAsia="宋体" w:cs="宋体"/>
          <w:i w:val="0"/>
          <w:caps w:val="0"/>
          <w:color w:val="333333"/>
          <w:spacing w:val="0"/>
          <w:sz w:val="32"/>
          <w:szCs w:val="32"/>
        </w:rPr>
      </w:pPr>
      <w:r>
        <w:rPr>
          <w:rFonts w:hint="eastAsia" w:ascii="宋体" w:hAnsi="宋体" w:eastAsia="宋体" w:cs="宋体"/>
          <w:b/>
          <w:bCs/>
          <w:i w:val="0"/>
          <w:caps w:val="0"/>
          <w:color w:val="333333"/>
          <w:spacing w:val="0"/>
          <w:sz w:val="32"/>
          <w:szCs w:val="32"/>
          <w:shd w:val="clear" w:fill="FFFFFF"/>
        </w:rPr>
        <w:t>标准配置单</w:t>
      </w:r>
    </w:p>
    <w:tbl>
      <w:tblPr>
        <w:tblStyle w:val="12"/>
        <w:tblW w:w="10200" w:type="dxa"/>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
      <w:tblGrid>
        <w:gridCol w:w="2558"/>
        <w:gridCol w:w="2542"/>
        <w:gridCol w:w="2543"/>
        <w:gridCol w:w="25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15" w:type="dxa"/>
            <w:left w:w="15" w:type="dxa"/>
            <w:bottom w:w="15" w:type="dxa"/>
            <w:right w:w="15" w:type="dxa"/>
          </w:tblCellMar>
        </w:tblPrEx>
        <w:trPr>
          <w:trHeight w:val="501" w:hRule="atLeast"/>
          <w:tblCellSpacing w:w="15" w:type="dxa"/>
        </w:trPr>
        <w:tc>
          <w:tcPr>
            <w:tcW w:w="251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普通手控刀</w:t>
            </w:r>
          </w:p>
        </w:tc>
        <w:tc>
          <w:tcPr>
            <w:tcW w:w="251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普通脚控刀</w:t>
            </w:r>
          </w:p>
        </w:tc>
        <w:tc>
          <w:tcPr>
            <w:tcW w:w="251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永磁式双联脚踏开关</w:t>
            </w:r>
          </w:p>
        </w:tc>
        <w:tc>
          <w:tcPr>
            <w:tcW w:w="251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中性电极板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03" w:hRule="atLeast"/>
          <w:tblCellSpacing w:w="15" w:type="dxa"/>
        </w:trPr>
        <w:tc>
          <w:tcPr>
            <w:tcW w:w="251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可高温消毒绝缘容器</w:t>
            </w:r>
          </w:p>
        </w:tc>
        <w:tc>
          <w:tcPr>
            <w:tcW w:w="251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电源线</w:t>
            </w:r>
          </w:p>
        </w:tc>
        <w:tc>
          <w:tcPr>
            <w:tcW w:w="2513"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说明书</w:t>
            </w:r>
          </w:p>
        </w:tc>
        <w:tc>
          <w:tcPr>
            <w:tcW w:w="2512" w:type="dxa"/>
            <w:tcBorders>
              <w:top w:val="single" w:color="DDDDDD" w:sz="6" w:space="0"/>
              <w:left w:val="single" w:color="DDDDDD" w:sz="6" w:space="0"/>
              <w:bottom w:val="single" w:color="DDDDDD" w:sz="6" w:space="0"/>
              <w:right w:val="single" w:color="DDDDDD" w:sz="6" w:space="0"/>
            </w:tcBorders>
            <w:shd w:val="clear" w:color="auto" w:fill="FFFFFF"/>
            <w:tcMar>
              <w:top w:w="75" w:type="dxa"/>
              <w:left w:w="150" w:type="dxa"/>
              <w:bottom w:w="75" w:type="dxa"/>
              <w:right w:w="150" w:type="dxa"/>
            </w:tcMar>
            <w:vAlign w:val="top"/>
          </w:tcPr>
          <w:p>
            <w:pPr>
              <w:keepNext w:val="0"/>
              <w:keepLines w:val="0"/>
              <w:widowControl/>
              <w:suppressLineNumbers w:val="0"/>
              <w:wordWrap w:val="0"/>
              <w:ind w:left="0" w:firstLine="0"/>
              <w:jc w:val="center"/>
              <w:rPr>
                <w:rFonts w:hint="eastAsia" w:ascii="宋体" w:hAnsi="宋体" w:eastAsia="宋体" w:cs="宋体"/>
                <w:i w:val="0"/>
                <w:caps w:val="0"/>
                <w:color w:val="333333"/>
                <w:spacing w:val="0"/>
                <w:sz w:val="32"/>
                <w:szCs w:val="32"/>
              </w:rPr>
            </w:pPr>
            <w:r>
              <w:rPr>
                <w:rFonts w:hint="eastAsia" w:ascii="宋体" w:hAnsi="宋体" w:eastAsia="宋体" w:cs="宋体"/>
                <w:i w:val="0"/>
                <w:caps w:val="0"/>
                <w:color w:val="333333"/>
                <w:spacing w:val="0"/>
                <w:kern w:val="0"/>
                <w:sz w:val="32"/>
                <w:szCs w:val="32"/>
                <w:lang w:val="en-US" w:eastAsia="zh-CN" w:bidi="ar"/>
              </w:rPr>
              <w:t>保修卡</w:t>
            </w:r>
          </w:p>
        </w:tc>
      </w:tr>
    </w:tbl>
    <w:p>
      <w:pPr>
        <w:tabs>
          <w:tab w:val="left" w:pos="4132"/>
        </w:tabs>
        <w:jc w:val="center"/>
        <w:rPr>
          <w:rFonts w:hint="eastAsia" w:ascii="font-size:22pt;" w:hAnsi="font-size:22pt;" w:eastAsia="宋体" w:cs="font-size:22pt;"/>
          <w:b/>
          <w:i w:val="0"/>
          <w:caps w:val="0"/>
          <w:color w:val="333333"/>
          <w:spacing w:val="0"/>
          <w:sz w:val="36"/>
          <w:szCs w:val="36"/>
          <w:shd w:val="clear" w:fill="FFFFFF"/>
          <w:lang w:eastAsia="zh-CN"/>
        </w:rPr>
      </w:pPr>
      <w:r>
        <w:rPr>
          <w:rFonts w:hint="eastAsia" w:ascii="font-size:22pt;" w:hAnsi="font-size:22pt;" w:eastAsia="宋体" w:cs="font-size:22pt;"/>
          <w:b/>
          <w:i w:val="0"/>
          <w:caps w:val="0"/>
          <w:color w:val="333333"/>
          <w:spacing w:val="0"/>
          <w:sz w:val="36"/>
          <w:szCs w:val="36"/>
          <w:shd w:val="clear" w:fill="FFFFFF"/>
          <w:lang w:eastAsia="zh-CN"/>
        </w:rPr>
        <w:t>上海沪通电子有限公司</w:t>
      </w:r>
    </w:p>
    <w:p>
      <w:pPr>
        <w:tabs>
          <w:tab w:val="left" w:pos="4132"/>
        </w:tabs>
        <w:jc w:val="center"/>
        <w:rPr>
          <w:rFonts w:hint="eastAsia" w:ascii="font-size:22pt;" w:hAnsi="font-size:22pt;" w:eastAsia="宋体" w:cs="font-size:22pt;"/>
          <w:b/>
          <w:i w:val="0"/>
          <w:caps w:val="0"/>
          <w:color w:val="333333"/>
          <w:spacing w:val="0"/>
          <w:sz w:val="32"/>
          <w:szCs w:val="32"/>
          <w:shd w:val="clear" w:fill="FFFFFF"/>
          <w:lang w:eastAsia="zh-CN"/>
        </w:rPr>
      </w:pPr>
      <w:r>
        <w:rPr>
          <w:rFonts w:hint="eastAsia" w:ascii="font-size:22pt;" w:hAnsi="font-size:22pt;" w:eastAsia="宋体" w:cs="font-size:22pt;"/>
          <w:b/>
          <w:i w:val="0"/>
          <w:caps w:val="0"/>
          <w:color w:val="333333"/>
          <w:spacing w:val="0"/>
          <w:sz w:val="32"/>
          <w:szCs w:val="32"/>
          <w:shd w:val="clear" w:fill="FFFFFF"/>
          <w:lang w:eastAsia="zh-CN"/>
        </w:rPr>
        <w:drawing>
          <wp:inline distT="0" distB="0" distL="114300" distR="114300">
            <wp:extent cx="5057775" cy="8225790"/>
            <wp:effectExtent l="0" t="0" r="9525" b="381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12"/>
                    <a:stretch>
                      <a:fillRect/>
                    </a:stretch>
                  </pic:blipFill>
                  <pic:spPr>
                    <a:xfrm>
                      <a:off x="0" y="0"/>
                      <a:ext cx="5057775" cy="8225790"/>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b/>
          <w:bCs/>
          <w:i w:val="0"/>
          <w:caps w:val="0"/>
          <w:color w:val="333333"/>
          <w:spacing w:val="0"/>
        </w:rPr>
      </w:pPr>
      <w:r>
        <w:rPr>
          <w:rFonts w:hint="eastAsia" w:ascii="宋体" w:hAnsi="宋体" w:eastAsia="宋体" w:cs="宋体"/>
          <w:b/>
          <w:bCs/>
          <w:i w:val="0"/>
          <w:caps w:val="0"/>
          <w:color w:val="333333"/>
          <w:spacing w:val="0"/>
          <w:sz w:val="36"/>
          <w:szCs w:val="36"/>
          <w:shd w:val="clear" w:fill="FFFFFF"/>
        </w:rPr>
        <w:t>上海沪通高频电刀产品型号表</w:t>
      </w:r>
    </w:p>
    <w:tbl>
      <w:tblPr>
        <w:tblStyle w:val="12"/>
        <w:tblW w:w="10160" w:type="dxa"/>
        <w:jc w:val="center"/>
        <w:tblCellSpacing w:w="0" w:type="dxa"/>
        <w:tblInd w:w="147"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
      <w:tblGrid>
        <w:gridCol w:w="5591"/>
        <w:gridCol w:w="456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1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36"/>
                <w:szCs w:val="36"/>
                <w:lang w:val="en-US" w:eastAsia="zh-CN" w:bidi="ar"/>
              </w:rPr>
              <w:t>产品型号</w:t>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36"/>
                <w:szCs w:val="36"/>
                <w:lang w:val="en-US" w:eastAsia="zh-CN" w:bidi="ar"/>
              </w:rPr>
              <w:t>产品特色</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"http://www.medwant.com/medical/yiyonggaopinyiqi/gaopindiandao/60014642.html"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"http://www.medwant.com/medical/yiyonggaopinyiqi/gaopindiandao/60014642.html"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具有单/双极模式</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沪通高频电刀GD350-P</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具有切/凝合一功能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"http://www.medwant.com/medical/yiyonggaopinyiqi/gaopindiandao/60012266.html"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沪通高频电刀GD350-S1</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"http://www.medwant.com/medical/yiyonggaopinyiqi/gaopindiandao/60012266.html"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双极电凝型 可在精细手术中作凝血作用</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沪通高频电刀GD350-B4A</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单双极模式 可执行各种微创手术的切凝功能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沪通高频电刀GD350-S3</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"http://www.medwant.com/medical/yiyonggaopinyiqi/gaopindiandao/60012270.html"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双极射频电凝型 适用于中小型外科手术</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双极电切电凝型 大屏幕彩色液晶屏显示</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沪通高频电刀GD350-B5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多功能大功率面凝 双极 大功率智能型</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"http://www.medwant.com/medical/yiyonggaopinyiqi/gaopindiandao/60012271.html"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沪通高频电刀GD350-S5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"http://www.medwant.com/medical/yiyonggaopinyiqi/gaopindiandao/60012271.html"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双极电凝器适用于中小型外科手术</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1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沪通高频电刀GD350-D</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大功率单极高频电刀</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沪通高频电刀GD350-T</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"http://www.medwant.com/medical/yiyonggaopinyiqi/gaopindiandao/60012265.html"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自动调节凝血效果</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"http://www.medwant.com/medical/yiyonggaopinyiqi/gaopindiandao/60016648.html"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沪通高频电刀GD350-E</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"http://www.medwant.com/medical/yiyonggaopinyiqi/gaopindiandao/60016648.html"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微创手术理想的电外科设备</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"http://www.medwant.com/medical/yiyonggaopinyiqi/gaopindiandao/60016178.html"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沪通妇科Leep手术治疗系统B型</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"http://www.medwant.com/medical/yiyonggaopinyiqi/gaopindiandao/60016178.html"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采用4.1MHz高频妇科治疗方案</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沪通氩气电刀YD2000/YD2000A</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"http://www.medwant.com/medical/yiyonggaopinyiqi/gaopindiandao/60012255.html"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止血能力超强</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"http://www.medwant.com/medical/shoushujijiushebei/shoushudaohangxitong/60016169.html"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沪通妇科Leep手术专用治疗系统E型</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"http://www.medwant.com/medical/shoushujijiushebei/shoushudaohangxitong/60016169.html"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降低有害物质对医患的损害</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803"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沪通氩气控制仪GD350-Ar</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"http://www.medwant.com/medical/yiyonggaopinyiqi/gaopindiandao/60012252.html"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具有氩气增强功能</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1586"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沪通氩气控制仪</w:t>
            </w:r>
            <w:r>
              <w:rPr>
                <w:rStyle w:val="11"/>
                <w:rFonts w:hint="eastAsia" w:ascii="宋体" w:hAnsi="宋体" w:eastAsia="宋体" w:cs="宋体"/>
                <w:i w:val="0"/>
                <w:caps w:val="0"/>
                <w:color w:val="333333"/>
                <w:spacing w:val="0"/>
                <w:sz w:val="36"/>
                <w:szCs w:val="36"/>
                <w:u w:val="none"/>
              </w:rPr>
              <w:br w:type="textWrapping"/>
            </w:r>
            <w:r>
              <w:rPr>
                <w:rStyle w:val="11"/>
                <w:rFonts w:hint="eastAsia" w:ascii="宋体" w:hAnsi="宋体" w:eastAsia="宋体" w:cs="宋体"/>
                <w:i w:val="0"/>
                <w:caps w:val="0"/>
                <w:color w:val="333333"/>
                <w:spacing w:val="0"/>
                <w:sz w:val="36"/>
                <w:szCs w:val="36"/>
                <w:u w:val="none"/>
              </w:rPr>
              <w:t>GD350-Ar+GD350-B5</w:t>
            </w:r>
            <w:r>
              <w:rPr>
                <w:rFonts w:hint="eastAsia" w:ascii="宋体" w:hAnsi="宋体" w:eastAsia="宋体" w:cs="宋体"/>
                <w:i w:val="0"/>
                <w:caps w:val="0"/>
                <w:color w:val="333333"/>
                <w:spacing w:val="0"/>
                <w:kern w:val="0"/>
                <w:sz w:val="24"/>
                <w:szCs w:val="24"/>
                <w:u w:val="none"/>
                <w:lang w:val="en-US" w:eastAsia="zh-CN" w:bidi="ar"/>
              </w:rPr>
              <w:fldChar w:fldCharType="end"/>
            </w: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"http://www.medwant.com/medical/yiyonggaopinyiqi/gaopindiandao/60012254.html"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流量控制精度高</w:t>
            </w:r>
            <w:r>
              <w:rPr>
                <w:rFonts w:hint="eastAsia" w:ascii="宋体" w:hAnsi="宋体" w:eastAsia="宋体" w:cs="宋体"/>
                <w:i w:val="0"/>
                <w:caps w:val="0"/>
                <w:color w:val="333333"/>
                <w:spacing w:val="0"/>
                <w:kern w:val="0"/>
                <w:sz w:val="24"/>
                <w:szCs w:val="24"/>
                <w:u w:val="none"/>
                <w:lang w:val="en-US" w:eastAsia="zh-CN" w:bidi="ar"/>
              </w:rPr>
              <w:fldChar w:fldCharType="end"/>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0" w:type="dxa"/>
            <w:left w:w="150" w:type="dxa"/>
            <w:bottom w:w="150" w:type="dxa"/>
            <w:right w:w="150" w:type="dxa"/>
          </w:tblCellMar>
        </w:tblPrEx>
        <w:trPr>
          <w:trHeight w:val="2384" w:hRule="atLeast"/>
          <w:tblCellSpacing w:w="0" w:type="dxa"/>
          <w:jc w:val="center"/>
        </w:trPr>
        <w:tc>
          <w:tcPr>
            <w:tcW w:w="5591" w:type="dxa"/>
            <w:tcBorders>
              <w:top w:val="nil"/>
              <w:left w:val="single" w:color="auto" w:sz="8" w:space="0"/>
              <w:bottom w:val="single" w:color="auto" w:sz="8" w:space="0"/>
              <w:right w:val="single" w:color="auto" w:sz="8" w:space="0"/>
            </w:tcBorders>
            <w:shd w:val="clear" w:color="auto" w:fill="FFFFFF"/>
            <w:noWrap/>
            <w:tcMar>
              <w:top w:w="0" w:type="dxa"/>
              <w:left w:w="108" w:type="dxa"/>
              <w:bottom w:w="0" w:type="dxa"/>
              <w:right w:w="108" w:type="dxa"/>
            </w:tcMar>
            <w:vAlign w:val="bottom"/>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沪通氩气电刀</w:t>
            </w:r>
            <w:r>
              <w:rPr>
                <w:rStyle w:val="11"/>
                <w:rFonts w:hint="eastAsia" w:ascii="宋体" w:hAnsi="宋体" w:eastAsia="宋体" w:cs="宋体"/>
                <w:i w:val="0"/>
                <w:caps w:val="0"/>
                <w:color w:val="333333"/>
                <w:spacing w:val="0"/>
                <w:sz w:val="36"/>
                <w:szCs w:val="36"/>
                <w:u w:val="none"/>
              </w:rPr>
              <w:br w:type="textWrapping"/>
            </w:r>
            <w:r>
              <w:rPr>
                <w:rFonts w:hint="eastAsia" w:ascii="宋体" w:hAnsi="宋体" w:eastAsia="宋体" w:cs="宋体"/>
                <w:i w:val="0"/>
                <w:caps w:val="0"/>
                <w:color w:val="333333"/>
                <w:spacing w:val="0"/>
                <w:kern w:val="0"/>
                <w:sz w:val="24"/>
                <w:szCs w:val="24"/>
                <w:u w:val="none"/>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0"/>
            </w:pPr>
            <w:r>
              <w:rPr>
                <w:rFonts w:hint="eastAsia" w:ascii="宋体" w:hAnsi="宋体" w:eastAsia="宋体" w:cs="宋体"/>
                <w:i w:val="0"/>
                <w:caps w:val="0"/>
                <w:color w:val="333333"/>
                <w:spacing w:val="0"/>
                <w:sz w:val="21"/>
                <w:szCs w:val="21"/>
                <w:u w:val="none"/>
              </w:rPr>
              <w:fldChar w:fldCharType="begin"/>
            </w:r>
            <w:r>
              <w:rPr>
                <w:rFonts w:hint="eastAsia" w:ascii="宋体" w:hAnsi="宋体" w:eastAsia="宋体" w:cs="宋体"/>
                <w:i w:val="0"/>
                <w:caps w:val="0"/>
                <w:color w:val="333333"/>
                <w:spacing w:val="0"/>
                <w:sz w:val="21"/>
                <w:szCs w:val="21"/>
                <w:u w:val="none"/>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sz w:val="21"/>
                <w:szCs w:val="21"/>
                <w:u w:val="none"/>
              </w:rPr>
              <w:fldChar w:fldCharType="separate"/>
            </w:r>
            <w:r>
              <w:rPr>
                <w:rStyle w:val="11"/>
                <w:rFonts w:hint="eastAsia" w:ascii="宋体" w:hAnsi="宋体" w:eastAsia="宋体" w:cs="宋体"/>
                <w:i w:val="0"/>
                <w:caps w:val="0"/>
                <w:color w:val="333333"/>
                <w:spacing w:val="0"/>
                <w:sz w:val="36"/>
                <w:szCs w:val="36"/>
                <w:u w:val="none"/>
              </w:rPr>
              <w:t>GD350-Ar+GD350-D</w:t>
            </w:r>
            <w:r>
              <w:rPr>
                <w:rFonts w:hint="eastAsia" w:ascii="宋体" w:hAnsi="宋体" w:eastAsia="宋体" w:cs="宋体"/>
                <w:i w:val="0"/>
                <w:caps w:val="0"/>
                <w:color w:val="333333"/>
                <w:spacing w:val="0"/>
                <w:sz w:val="21"/>
                <w:szCs w:val="21"/>
                <w:u w:val="none"/>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150" w:right="0"/>
            </w:pPr>
          </w:p>
        </w:tc>
        <w:tc>
          <w:tcPr>
            <w:tcW w:w="4569" w:type="dxa"/>
            <w:tcBorders>
              <w:top w:val="nil"/>
              <w:left w:val="nil"/>
              <w:bottom w:val="single" w:color="auto" w:sz="8" w:space="0"/>
              <w:right w:val="single" w:color="auto" w:sz="8" w:space="0"/>
            </w:tcBorders>
            <w:shd w:val="clear" w:color="auto" w:fill="FFFFFF"/>
            <w:tcMar>
              <w:top w:w="0" w:type="dxa"/>
              <w:left w:w="108" w:type="dxa"/>
              <w:bottom w:w="0" w:type="dxa"/>
              <w:right w:w="108"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left"/>
            </w:pPr>
            <w:r>
              <w:rPr>
                <w:rFonts w:hint="eastAsia" w:ascii="宋体" w:hAnsi="宋体" w:eastAsia="宋体" w:cs="宋体"/>
                <w:i w:val="0"/>
                <w:caps w:val="0"/>
                <w:color w:val="333333"/>
                <w:spacing w:val="0"/>
                <w:kern w:val="0"/>
                <w:sz w:val="24"/>
                <w:szCs w:val="24"/>
                <w:u w:val="none"/>
                <w:lang w:val="en-US" w:eastAsia="zh-CN" w:bidi="ar"/>
              </w:rPr>
              <w:fldChar w:fldCharType="begin"/>
            </w:r>
            <w:r>
              <w:rPr>
                <w:rFonts w:hint="eastAsia" w:ascii="宋体" w:hAnsi="宋体" w:eastAsia="宋体" w:cs="宋体"/>
                <w:i w:val="0"/>
                <w:caps w:val="0"/>
                <w:color w:val="333333"/>
                <w:spacing w:val="0"/>
                <w:kern w:val="0"/>
                <w:sz w:val="24"/>
                <w:szCs w:val="24"/>
                <w:u w:val="none"/>
                <w:lang w:val="en-US" w:eastAsia="zh-CN" w:bidi="ar"/>
              </w:rPr>
              <w:instrText xml:space="preserve"> HYPERLINK "http://www.medwant.com/medical/yiyonggaopinyiqi/gaopindiandao/60012253.html" \t "http://www.medwant.com/medical/yiyonggaopinyiqi/gaopindiandao/_blank" </w:instrText>
            </w:r>
            <w:r>
              <w:rPr>
                <w:rFonts w:hint="eastAsia" w:ascii="宋体" w:hAnsi="宋体" w:eastAsia="宋体" w:cs="宋体"/>
                <w:i w:val="0"/>
                <w:caps w:val="0"/>
                <w:color w:val="333333"/>
                <w:spacing w:val="0"/>
                <w:kern w:val="0"/>
                <w:sz w:val="24"/>
                <w:szCs w:val="24"/>
                <w:u w:val="none"/>
                <w:lang w:val="en-US" w:eastAsia="zh-CN" w:bidi="ar"/>
              </w:rPr>
              <w:fldChar w:fldCharType="separate"/>
            </w:r>
            <w:r>
              <w:rPr>
                <w:rStyle w:val="11"/>
                <w:rFonts w:hint="eastAsia" w:ascii="宋体" w:hAnsi="宋体" w:eastAsia="宋体" w:cs="宋体"/>
                <w:i w:val="0"/>
                <w:caps w:val="0"/>
                <w:color w:val="333333"/>
                <w:spacing w:val="0"/>
                <w:sz w:val="36"/>
                <w:szCs w:val="36"/>
                <w:u w:val="none"/>
              </w:rPr>
              <w:t>可增强切/凝效果</w:t>
            </w:r>
            <w:r>
              <w:rPr>
                <w:rFonts w:hint="eastAsia" w:ascii="宋体" w:hAnsi="宋体" w:eastAsia="宋体" w:cs="宋体"/>
                <w:i w:val="0"/>
                <w:caps w:val="0"/>
                <w:color w:val="333333"/>
                <w:spacing w:val="0"/>
                <w:kern w:val="0"/>
                <w:sz w:val="24"/>
                <w:szCs w:val="24"/>
                <w:u w:val="none"/>
                <w:lang w:val="en-US" w:eastAsia="zh-CN" w:bidi="ar"/>
              </w:rPr>
              <w:fldChar w:fldCharType="end"/>
            </w:r>
          </w:p>
        </w:tc>
      </w:tr>
    </w:tbl>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93" w:lineRule="atLeast"/>
        <w:ind w:left="120" w:right="0"/>
        <w:jc w:val="center"/>
        <w:rPr>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Style w:val="10"/>
          <w:i w:val="0"/>
          <w:caps w:val="0"/>
          <w:color w:val="CC0000"/>
          <w:spacing w:val="0"/>
          <w:shd w:val="clear" w:fill="FFFFFF"/>
        </w:r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Style w:val="10"/>
          <w:i w:val="0"/>
          <w:caps w:val="0"/>
          <w:color w:val="CC0000"/>
          <w:spacing w:val="0"/>
          <w:shd w:val="clear" w:fill="FFFFFF"/>
        </w:rPr>
        <w:t>沪通高频电刀GD350-</w:t>
      </w:r>
      <w:r>
        <w:rPr>
          <w:rStyle w:val="10"/>
          <w:rFonts w:hint="eastAsia"/>
          <w:i w:val="0"/>
          <w:caps w:val="0"/>
          <w:color w:val="CC0000"/>
          <w:spacing w:val="0"/>
          <w:shd w:val="clear" w:fill="FFFFFF"/>
          <w:lang w:val="en-US" w:eastAsia="zh-CN"/>
        </w:rPr>
        <w:t>T</w:t>
      </w:r>
      <w:r>
        <w:rPr>
          <w:rStyle w:val="10"/>
          <w:i w:val="0"/>
          <w:caps w:val="0"/>
          <w:color w:val="CC0000"/>
          <w:spacing w:val="0"/>
          <w:shd w:val="clear" w:fill="FFFFFF"/>
        </w:rPr>
        <w:t>单极高频电刀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rPr>
      </w:pPr>
      <w:r>
        <w:rPr>
          <w:rFonts w:hint="eastAsia" w:ascii="宋体" w:hAnsi="宋体" w:eastAsia="宋体" w:cs="宋体"/>
          <w:i w:val="0"/>
          <w:caps w:val="0"/>
          <w:color w:val="FF0000"/>
          <w:spacing w:val="0"/>
          <w:shd w:val="clear" w:fill="FFFFFF"/>
        </w:rPr>
        <w:t>销售部电话：021-51601230 钱经理 13816458218</w:t>
      </w:r>
    </w:p>
    <w:p>
      <w:pPr>
        <w:keepNext w:val="0"/>
        <w:keepLines w:val="0"/>
        <w:widowControl/>
        <w:suppressLineNumbers w:val="0"/>
        <w:jc w:val="left"/>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宋体" w:hAnsi="宋体" w:eastAsia="宋体" w:cs="宋体"/>
          <w:i w:val="0"/>
          <w:caps w:val="0"/>
          <w:color w:val="333333"/>
          <w:spacing w:val="0"/>
        </w:rPr>
      </w:pPr>
      <w:r>
        <w:rPr>
          <w:rFonts w:hint="eastAsia" w:ascii="宋体" w:hAnsi="宋体" w:eastAsia="宋体" w:cs="宋体"/>
          <w:i w:val="0"/>
          <w:caps w:val="0"/>
          <w:color w:val="333333"/>
          <w:spacing w:val="0"/>
          <w:shd w:val="clear" w:fill="FFFFFF"/>
        </w:rPr>
        <w:t>销售部地址：上海市静安区海宁路1399号金城大厦417室</w:t>
      </w:r>
    </w:p>
    <w:p>
      <w:pPr>
        <w:keepNext w:val="0"/>
        <w:keepLines w:val="0"/>
        <w:widowControl/>
        <w:suppressLineNumbers w:val="0"/>
        <w:spacing w:before="0" w:beforeAutospacing="0" w:after="0" w:afterAutospacing="0"/>
        <w:ind w:left="0" w:right="0"/>
        <w:jc w:val="left"/>
        <w:rPr>
          <w:sz w:val="28"/>
          <w:szCs w:val="28"/>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ajorEastAsia" w:hAnsiTheme="majorEastAsia" w:eastAsiaTheme="majorEastAsia" w:cstheme="majorEastAsia"/>
          <w:i w:val="0"/>
          <w:caps w:val="0"/>
          <w:color w:val="333333"/>
          <w:spacing w:val="0"/>
          <w:sz w:val="36"/>
          <w:szCs w:val="36"/>
        </w:rPr>
      </w:pPr>
      <w:r>
        <w:rPr>
          <w:rStyle w:val="10"/>
          <w:rFonts w:hint="eastAsia" w:asciiTheme="majorEastAsia" w:hAnsiTheme="majorEastAsia" w:eastAsiaTheme="majorEastAsia" w:cstheme="majorEastAsia"/>
          <w:i w:val="0"/>
          <w:caps w:val="0"/>
          <w:color w:val="333333"/>
          <w:spacing w:val="0"/>
          <w:sz w:val="36"/>
          <w:szCs w:val="36"/>
          <w:shd w:val="clear" w:fill="FFFFFF"/>
        </w:rPr>
        <w:t>沪通高频电刀 GD350-</w:t>
      </w:r>
      <w:r>
        <w:rPr>
          <w:rStyle w:val="10"/>
          <w:rFonts w:hint="eastAsia" w:asciiTheme="majorEastAsia" w:hAnsiTheme="majorEastAsia" w:eastAsiaTheme="majorEastAsia" w:cstheme="majorEastAsia"/>
          <w:i w:val="0"/>
          <w:caps w:val="0"/>
          <w:color w:val="333333"/>
          <w:spacing w:val="0"/>
          <w:sz w:val="36"/>
          <w:szCs w:val="36"/>
          <w:shd w:val="clear" w:fill="FFFFFF"/>
          <w:lang w:val="en-US" w:eastAsia="zh-CN"/>
        </w:rPr>
        <w:t>T</w:t>
      </w:r>
      <w:r>
        <w:rPr>
          <w:rStyle w:val="10"/>
          <w:rFonts w:hint="eastAsia" w:asciiTheme="majorEastAsia" w:hAnsiTheme="majorEastAsia" w:eastAsiaTheme="majorEastAsia" w:cstheme="majorEastAsia"/>
          <w:i w:val="0"/>
          <w:caps w:val="0"/>
          <w:color w:val="333333"/>
          <w:spacing w:val="0"/>
          <w:sz w:val="36"/>
          <w:szCs w:val="36"/>
          <w:shd w:val="clear" w:fill="FFFFFF"/>
        </w:rPr>
        <w:t>保修服务承诺：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沪通高频电刀 GD350-</w:t>
      </w:r>
      <w:r>
        <w:rPr>
          <w:rFonts w:hint="eastAsia" w:asciiTheme="minorEastAsia" w:hAnsiTheme="minorEastAsia" w:cstheme="minorEastAsia"/>
          <w:i w:val="0"/>
          <w:caps w:val="0"/>
          <w:color w:val="333333"/>
          <w:spacing w:val="0"/>
          <w:sz w:val="24"/>
          <w:szCs w:val="24"/>
          <w:shd w:val="clear" w:fill="FFFFFF"/>
          <w:lang w:val="en-US" w:eastAsia="zh-CN"/>
        </w:rPr>
        <w:t>T</w:t>
      </w:r>
      <w:r>
        <w:rPr>
          <w:rFonts w:hint="eastAsia" w:asciiTheme="minorEastAsia" w:hAnsiTheme="minorEastAsia" w:eastAsiaTheme="minorEastAsia" w:cstheme="minorEastAsia"/>
          <w:i w:val="0"/>
          <w:caps w:val="0"/>
          <w:color w:val="333333"/>
          <w:spacing w:val="0"/>
          <w:sz w:val="24"/>
          <w:szCs w:val="24"/>
          <w:shd w:val="clear" w:fill="FFFFFF"/>
        </w:rPr>
        <w:t>自购买之日起一年以内由产品本身质量问题（非人为损坏）导致不能正常使用的，免费提供保修服务。超过免费保修时限，提供终身维修服务（仅收取材料成本费）。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我们向您保证您定购的沪通高频电刀 GD350-</w:t>
      </w:r>
      <w:r>
        <w:rPr>
          <w:rFonts w:hint="eastAsia" w:asciiTheme="minorEastAsia" w:hAnsiTheme="minorEastAsia" w:cstheme="minorEastAsia"/>
          <w:i w:val="0"/>
          <w:caps w:val="0"/>
          <w:color w:val="333333"/>
          <w:spacing w:val="0"/>
          <w:sz w:val="24"/>
          <w:szCs w:val="24"/>
          <w:shd w:val="clear" w:fill="FFFFFF"/>
          <w:lang w:val="en-US" w:eastAsia="zh-CN"/>
        </w:rPr>
        <w:t>T</w:t>
      </w:r>
      <w:r>
        <w:rPr>
          <w:rFonts w:hint="eastAsia" w:asciiTheme="minorEastAsia" w:hAnsiTheme="minorEastAsia" w:eastAsiaTheme="minorEastAsia" w:cstheme="minorEastAsia"/>
          <w:i w:val="0"/>
          <w:caps w:val="0"/>
          <w:color w:val="333333"/>
          <w:spacing w:val="0"/>
          <w:sz w:val="24"/>
          <w:szCs w:val="24"/>
          <w:shd w:val="clear" w:fill="FFFFFF"/>
        </w:rPr>
        <w:t>为全新正品，产品保修卡、合格证齐全，所有产品均可享受全国联保服务。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全国联保，统一网上报修，在线24小时内响应。只需要您登录会员中心，在“产品售后”相应页面进行在线提交售后服务申请单，我们的工作人员会在24小时内和您确认并指导进行后续保修处理。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rPr>
          <w:rFonts w:hint="eastAsia" w:asciiTheme="minorEastAsia" w:hAnsiTheme="minorEastAsia" w:eastAsiaTheme="minorEastAsia" w:cstheme="minorEastAsia"/>
          <w:i w:val="0"/>
          <w:caps w:val="0"/>
          <w:color w:val="333333"/>
          <w:spacing w:val="0"/>
          <w:sz w:val="24"/>
          <w:szCs w:val="24"/>
        </w:rPr>
      </w:pPr>
      <w:r>
        <w:rPr>
          <w:rFonts w:hint="eastAsia" w:asciiTheme="minorEastAsia" w:hAnsiTheme="minorEastAsia" w:eastAsiaTheme="minorEastAsia" w:cstheme="minorEastAsia"/>
          <w:i w:val="0"/>
          <w:caps w:val="0"/>
          <w:color w:val="333333"/>
          <w:spacing w:val="0"/>
          <w:sz w:val="24"/>
          <w:szCs w:val="24"/>
          <w:shd w:val="clear" w:fill="FFFFFF"/>
        </w:rPr>
        <w:t>售后服务中心电话：021-51601230</w:t>
      </w:r>
    </w:p>
    <w:sectPr>
      <w:headerReference r:id="rId3" w:type="default"/>
      <w:footerReference r:id="rId4" w:type="default"/>
      <w:pgSz w:w="11900" w:h="16840"/>
      <w:pgMar w:top="851" w:right="851" w:bottom="851" w:left="851"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Times">
    <w:altName w:val="Times New Roman"/>
    <w:panose1 w:val="02000500000000000000"/>
    <w:charset w:val="00"/>
    <w:family w:val="auto"/>
    <w:pitch w:val="default"/>
    <w:sig w:usb0="00000000" w:usb1="00000000" w:usb2="00000000" w:usb3="00000000" w:csb0="00000001" w:csb1="00000000"/>
  </w:font>
  <w:font w:name="Heiti SC Light">
    <w:altName w:val="hakuyoxingshu7000"/>
    <w:panose1 w:val="02000000000000000000"/>
    <w:charset w:val="50"/>
    <w:family w:val="auto"/>
    <w:pitch w:val="default"/>
    <w:sig w:usb0="00000000" w:usb1="00000000" w:usb2="00000010" w:usb3="00000000" w:csb0="003E0000" w:csb1="00000000"/>
  </w:font>
  <w:font w:name="font-size:22pt;">
    <w:altName w:val="Courier New"/>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hakuyoxingshu7000">
    <w:panose1 w:val="02000600000000000000"/>
    <w:charset w:val="86"/>
    <w:family w:val="auto"/>
    <w:pitch w:val="default"/>
    <w:sig w:usb0="FFFFFFFF" w:usb1="E9FFFFFF" w:usb2="0000003F" w:usb3="00000000" w:csb0="603F00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rPr>
        <w:sz w:val="28"/>
        <w:szCs w:val="28"/>
      </w:rPr>
    </w:pPr>
    <w:r>
      <w:rPr>
        <w:rFonts w:hint="eastAsia" w:ascii="宋体" w:hAnsi="宋体" w:eastAsia="宋体" w:cs="Times New Roman"/>
        <w:bCs/>
        <w:color w:val="333333"/>
        <w:kern w:val="0"/>
        <w:sz w:val="28"/>
        <w:szCs w:val="28"/>
      </w:rPr>
      <w:t>上海</w:t>
    </w:r>
    <w:r>
      <w:rPr>
        <w:rFonts w:hint="eastAsia" w:ascii="宋体" w:hAnsi="宋体" w:eastAsia="宋体" w:cs="Times New Roman"/>
        <w:bCs/>
        <w:color w:val="333333"/>
        <w:kern w:val="0"/>
        <w:sz w:val="28"/>
        <w:szCs w:val="28"/>
        <w:lang w:eastAsia="zh-CN"/>
      </w:rPr>
      <w:t>沪通高频电刀</w:t>
    </w:r>
    <w:r>
      <w:rPr>
        <w:rFonts w:hint="eastAsia" w:ascii="宋体" w:hAnsi="宋体" w:eastAsia="宋体" w:cs="Times New Roman"/>
        <w:bCs/>
        <w:color w:val="333333"/>
        <w:kern w:val="0"/>
        <w:sz w:val="28"/>
        <w:szCs w:val="28"/>
      </w:rPr>
      <w:t xml:space="preserve"> 服务咨询：</w:t>
    </w:r>
    <w:r>
      <w:rPr>
        <w:rFonts w:ascii="宋体" w:hAnsi="宋体" w:eastAsia="宋体" w:cs="Times New Roman"/>
        <w:bCs/>
        <w:color w:val="333333"/>
        <w:kern w:val="0"/>
        <w:sz w:val="28"/>
        <w:szCs w:val="28"/>
      </w:rPr>
      <w:t>021-51601230</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hint="eastAsia" w:eastAsia="宋体"/>
        <w:sz w:val="28"/>
        <w:szCs w:val="28"/>
        <w:lang w:eastAsia="zh-CN"/>
      </w:rPr>
    </w:pPr>
    <w:r>
      <w:rPr>
        <w:rFonts w:hint="eastAsia" w:ascii="宋体" w:hAnsi="宋体" w:eastAsia="宋体" w:cs="Times New Roman"/>
        <w:bCs/>
        <w:color w:val="333333"/>
        <w:kern w:val="0"/>
        <w:sz w:val="28"/>
        <w:szCs w:val="28"/>
        <w:lang w:eastAsia="zh-CN"/>
      </w:rPr>
      <w:t>沪通</w:t>
    </w:r>
    <w:r>
      <w:rPr>
        <w:rFonts w:hint="eastAsia" w:ascii="宋体" w:hAnsi="宋体" w:eastAsia="宋体" w:cs="Times New Roman"/>
        <w:bCs/>
        <w:color w:val="333333"/>
        <w:kern w:val="0"/>
        <w:sz w:val="28"/>
        <w:szCs w:val="28"/>
      </w:rPr>
      <w:t xml:space="preserve"> </w:t>
    </w:r>
    <w:r>
      <w:rPr>
        <w:rFonts w:hint="eastAsia" w:ascii="宋体" w:hAnsi="宋体" w:eastAsia="宋体" w:cs="Times New Roman"/>
        <w:bCs/>
        <w:color w:val="333333"/>
        <w:kern w:val="0"/>
        <w:sz w:val="28"/>
        <w:szCs w:val="28"/>
        <w:lang w:eastAsia="zh-CN"/>
      </w:rPr>
      <w:t>高频电刀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dit="readOnly" w:formatting="1" w:enforcement="1" w:cryptProviderType="rsaFull" w:cryptAlgorithmClass="hash" w:cryptAlgorithmType="typeAny" w:cryptAlgorithmSid="4" w:cryptSpinCount="0" w:hash="MeG3pknaPGJVqbU+3Gfgw5uCQyQ=" w:salt="qXR1LObe8ymNPvymD0DTiQ=="/>
  <w:defaultTabStop w:val="420"/>
  <w:drawingGridVerticalSpacing w:val="20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865"/>
    <w:rsid w:val="00082CA0"/>
    <w:rsid w:val="001F5865"/>
    <w:rsid w:val="00823962"/>
    <w:rsid w:val="1285044A"/>
    <w:rsid w:val="144B7D47"/>
    <w:rsid w:val="1CCA18B8"/>
    <w:rsid w:val="1E966ADC"/>
    <w:rsid w:val="25944F4F"/>
    <w:rsid w:val="27EC1E53"/>
    <w:rsid w:val="2ACC6EBE"/>
    <w:rsid w:val="2D593A73"/>
    <w:rsid w:val="33FD772B"/>
    <w:rsid w:val="40256960"/>
    <w:rsid w:val="458651A2"/>
    <w:rsid w:val="4BD240F2"/>
    <w:rsid w:val="4C331CEA"/>
    <w:rsid w:val="4D0D5D21"/>
    <w:rsid w:val="4D8F21A9"/>
    <w:rsid w:val="5DE45164"/>
    <w:rsid w:val="60FB49D1"/>
    <w:rsid w:val="64092B57"/>
    <w:rsid w:val="71925BA2"/>
    <w:rsid w:val="7B644ED0"/>
    <w:rsid w:val="7CD81FE7"/>
    <w:rsid w:val="7FD45CA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iPriority="99" w:semiHidden="0" w:name="header" w:locked="1"/>
    <w:lsdException w:qFormat="1" w:uiPriority="99" w:semiHidden="0"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qFormat="1"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ocked="1"/>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13"/>
    <w:qFormat/>
    <w:locked/>
    <w:uiPriority w:val="9"/>
    <w:pPr>
      <w:widowControl/>
      <w:spacing w:before="100" w:beforeAutospacing="1" w:after="100" w:afterAutospacing="1"/>
      <w:jc w:val="left"/>
      <w:outlineLvl w:val="0"/>
    </w:pPr>
    <w:rPr>
      <w:rFonts w:ascii="Times" w:hAnsi="Times"/>
      <w:b/>
      <w:bCs/>
      <w:kern w:val="36"/>
      <w:sz w:val="48"/>
      <w:szCs w:val="48"/>
    </w:rPr>
  </w:style>
  <w:style w:type="paragraph" w:styleId="3">
    <w:name w:val="heading 2"/>
    <w:basedOn w:val="1"/>
    <w:next w:val="1"/>
    <w:link w:val="14"/>
    <w:qFormat/>
    <w:locked/>
    <w:uiPriority w:val="9"/>
    <w:pPr>
      <w:widowControl/>
      <w:spacing w:before="100" w:beforeAutospacing="1" w:after="100" w:afterAutospacing="1"/>
      <w:jc w:val="left"/>
      <w:outlineLvl w:val="1"/>
    </w:pPr>
    <w:rPr>
      <w:rFonts w:ascii="Times" w:hAnsi="Times"/>
      <w:b/>
      <w:bCs/>
      <w:kern w:val="0"/>
      <w:sz w:val="36"/>
      <w:szCs w:val="36"/>
    </w:rPr>
  </w:style>
  <w:style w:type="paragraph" w:styleId="4">
    <w:name w:val="heading 3"/>
    <w:basedOn w:val="1"/>
    <w:next w:val="1"/>
    <w:semiHidden/>
    <w:unhideWhenUsed/>
    <w:qFormat/>
    <w:locked/>
    <w:uiPriority w:val="9"/>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5">
    <w:name w:val="Balloon Text"/>
    <w:basedOn w:val="1"/>
    <w:link w:val="15"/>
    <w:semiHidden/>
    <w:unhideWhenUsed/>
    <w:qFormat/>
    <w:locked/>
    <w:uiPriority w:val="99"/>
    <w:rPr>
      <w:rFonts w:ascii="Heiti SC Light" w:eastAsia="Heiti SC Light"/>
      <w:sz w:val="18"/>
      <w:szCs w:val="18"/>
    </w:rPr>
  </w:style>
  <w:style w:type="paragraph" w:styleId="6">
    <w:name w:val="footer"/>
    <w:basedOn w:val="1"/>
    <w:link w:val="17"/>
    <w:unhideWhenUsed/>
    <w:qFormat/>
    <w:locked/>
    <w:uiPriority w:val="99"/>
    <w:pPr>
      <w:tabs>
        <w:tab w:val="center" w:pos="4153"/>
        <w:tab w:val="right" w:pos="8306"/>
      </w:tabs>
      <w:snapToGrid w:val="0"/>
      <w:jc w:val="left"/>
    </w:pPr>
    <w:rPr>
      <w:sz w:val="18"/>
      <w:szCs w:val="18"/>
    </w:rPr>
  </w:style>
  <w:style w:type="paragraph" w:styleId="7">
    <w:name w:val="header"/>
    <w:basedOn w:val="1"/>
    <w:link w:val="16"/>
    <w:unhideWhenUsed/>
    <w:qFormat/>
    <w:locked/>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semiHidden/>
    <w:unhideWhenUsed/>
    <w:qFormat/>
    <w:locked/>
    <w:uiPriority w:val="99"/>
    <w:pPr>
      <w:widowControl/>
      <w:spacing w:before="100" w:beforeAutospacing="1" w:after="100" w:afterAutospacing="1"/>
      <w:jc w:val="left"/>
    </w:pPr>
    <w:rPr>
      <w:rFonts w:ascii="Times" w:hAnsi="Times" w:cs="Times New Roman"/>
      <w:kern w:val="0"/>
      <w:sz w:val="20"/>
      <w:szCs w:val="20"/>
    </w:rPr>
  </w:style>
  <w:style w:type="character" w:styleId="10">
    <w:name w:val="Strong"/>
    <w:basedOn w:val="9"/>
    <w:qFormat/>
    <w:locked/>
    <w:uiPriority w:val="22"/>
    <w:rPr>
      <w:b/>
      <w:bCs/>
    </w:rPr>
  </w:style>
  <w:style w:type="character" w:styleId="11">
    <w:name w:val="Hyperlink"/>
    <w:basedOn w:val="9"/>
    <w:semiHidden/>
    <w:unhideWhenUsed/>
    <w:qFormat/>
    <w:locked/>
    <w:uiPriority w:val="99"/>
    <w:rPr>
      <w:color w:val="0000FF"/>
      <w:u w:val="single"/>
    </w:rPr>
  </w:style>
  <w:style w:type="character" w:customStyle="1" w:styleId="13">
    <w:name w:val="标题 1字符"/>
    <w:basedOn w:val="9"/>
    <w:link w:val="2"/>
    <w:qFormat/>
    <w:uiPriority w:val="9"/>
    <w:rPr>
      <w:rFonts w:ascii="Times" w:hAnsi="Times"/>
      <w:b/>
      <w:bCs/>
      <w:kern w:val="36"/>
      <w:sz w:val="48"/>
      <w:szCs w:val="48"/>
    </w:rPr>
  </w:style>
  <w:style w:type="character" w:customStyle="1" w:styleId="14">
    <w:name w:val="标题 2字符"/>
    <w:basedOn w:val="9"/>
    <w:link w:val="3"/>
    <w:qFormat/>
    <w:uiPriority w:val="9"/>
    <w:rPr>
      <w:rFonts w:ascii="Times" w:hAnsi="Times"/>
      <w:b/>
      <w:bCs/>
      <w:kern w:val="0"/>
      <w:sz w:val="36"/>
      <w:szCs w:val="36"/>
    </w:rPr>
  </w:style>
  <w:style w:type="character" w:customStyle="1" w:styleId="15">
    <w:name w:val="批注框文本字符"/>
    <w:basedOn w:val="9"/>
    <w:link w:val="5"/>
    <w:semiHidden/>
    <w:qFormat/>
    <w:uiPriority w:val="99"/>
    <w:rPr>
      <w:rFonts w:ascii="Heiti SC Light" w:eastAsia="Heiti SC Light"/>
      <w:sz w:val="18"/>
      <w:szCs w:val="18"/>
    </w:rPr>
  </w:style>
  <w:style w:type="character" w:customStyle="1" w:styleId="16">
    <w:name w:val="页眉字符"/>
    <w:basedOn w:val="9"/>
    <w:link w:val="7"/>
    <w:qFormat/>
    <w:uiPriority w:val="99"/>
    <w:rPr>
      <w:sz w:val="18"/>
      <w:szCs w:val="18"/>
    </w:rPr>
  </w:style>
  <w:style w:type="character" w:customStyle="1" w:styleId="17">
    <w:name w:val="页脚字符"/>
    <w:basedOn w:val="9"/>
    <w:link w:val="6"/>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Medwant</Company>
  <Pages>12</Pages>
  <Words>456</Words>
  <Characters>2603</Characters>
  <Lines>21</Lines>
  <Paragraphs>6</Paragraphs>
  <TotalTime>39</TotalTime>
  <ScaleCrop>false</ScaleCrop>
  <LinksUpToDate>false</LinksUpToDate>
  <CharactersWithSpaces>3053</CharactersWithSpaces>
  <Application>WPS Office_10.1.0.7698_F1E327BC-269C-435d-A152-05C5408002CA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2019-01-23T08:02:00Z</dcterms:created>
  <dc:creator>Shengli Wang</dc:creator>
  <cp:lastModifiedBy>Administrator</cp:lastModifiedBy>
  <dcterms:modified xsi:type="dcterms:W3CDTF">2019-09-10T01:53:15Z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